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Technische und organisatorische Maßnahmen</w:t>
      </w:r>
      <w:bookmarkEnd w:id="0"/>
    </w:p>
    <w:p>
      <w:pPr/>
      <w:r>
        <w:rPr>
          <w:color w:val="333333"/>
          <w:sz w:val="18"/>
          <w:szCs w:val="18"/>
        </w:rPr>
        <w:t xml:space="preserve">Anlage zur Vereinbarung zur Auftragsverarbeitung mit der web-crossing GmbH, Eduard-Bodem-Gasse 9, 6020 Innsbruck, info@web-crossing.com, +43 512 206567.</w:t>
      </w:r>
    </w:p>
    <w:p>
      <w:pPr/>
      <w:r>
        <w:rPr>
          <w:color w:val="005a96"/>
          <w:b w:val="1"/>
          <w:bCs w:val="1"/>
        </w:rPr>
        <w:t xml:space="preserve">ENTWURF - Freigabe durch Datenschutzbeauftragte:n und Geschäftsführung ausstehend.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Vertraulichkeit:</w:t>
      </w:r>
      <w:r>
        <w:rPr/>
        <w:t xml:space="preserve"> Zutritt zum Rechenzentrum nur für berechtigte Personen; Zugang zur Anwendung über persönliche Konten mit Passwort, Passwörter ausschließlich als Hash-Wert gespeichert; rollenbasierte Berechtigungen, die jeden Betrieb auf seine eigenen Daten beschränken; getrennte Mandanten je Betrieb.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Integrität:</w:t>
      </w:r>
      <w:r>
        <w:rPr/>
        <w:t xml:space="preserve"> durchgehende Transportverschlüsselung (TLS); Schutz vor automatisierten Zugriffen durch Ratenbegrenzung und temporäre Sperren; Protokollierung der Analyseläufe samt der zugrunde liegenden Belege.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Verfügbarkeit:</w:t>
      </w:r>
      <w:r>
        <w:rPr/>
        <w:t xml:space="preserve"> automatisierte Sicherung von Datenbank und Dateien mit getrennter Aufbewahrung; externe Überwachung der Erreichbarkeit mit Alarmierung; dokumentiertes Wiederherstellungsverfahren.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Belastbarkeit und Trennung:</w:t>
      </w:r>
      <w:r>
        <w:rPr/>
        <w:t xml:space="preserve"> getrennte Umgebungen für Entwicklung und Betrieb; keine Echtdaten in Testumgebungen; keine Einbindung fremder Inhalte in die ausgelieferten Seiten.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Verfahren zur Überprüfung:</w:t>
      </w:r>
      <w:r>
        <w:rPr/>
        <w:t xml:space="preserve"> automatisierte Tests vor jeder Änderung; Aufbewahrungsfristen technisch umgesetzt (Anfragen 365 Tage, Kundendaten 60 Tage nach Vertragsende, Zugriffsprotokolle 60 Tage, Anwendungsprotokolle 14 Tage).</w:t>
      </w:r>
    </w:p>
    <w:sectPr>
      <w:headerReference w:type="default" r:id="rId7"/>
      <w:footerReference w:type="default" r:id="rId8"/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color w:val="333333"/>
        <w:sz w:val="16"/>
        <w:szCs w:val="16"/>
      </w:rPr>
      <w:t xml:space="preserve">ENTWURF - Freigabe durch DSB und Geschäftsführung ausstehend. Seite </w:t>
    </w:r>
    <w:r>
      <w:fldChar w:fldCharType="begin"/>
    </w:r>
    <w:r>
      <w:rPr>
        <w:color w:val="333333"/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color w:val="333333"/>
        <w:sz w:val="16"/>
        <w:szCs w:val="16"/>
      </w:rPr>
      <w:t xml:space="preserve"> von </w:t>
    </w:r>
    <w:r>
      <w:fldChar w:fldCharType="begin"/>
    </w:r>
    <w:r>
      <w:rPr>
        <w:color w:val="333333"/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color w:val="333333"/>
        <w:sz w:val="16"/>
        <w:szCs w:val="16"/>
      </w:rPr>
      <w:t xml:space="preserve">Technische und organisatorische Maßnahmen - KIM, web-crossing GmbH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637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color w:val="005a96"/>
      <w:sz w:val="32"/>
      <w:szCs w:val="32"/>
      <w:b w:val="1"/>
      <w:bCs w:val="1"/>
    </w:rPr>
  </w:style>
  <w:style w:type="paragraph" w:styleId="Heading2">
    <w:link w:val="Heading2Char"/>
    <w:name w:val="heading 2"/>
    <w:rPr>
      <w:rFonts w:ascii="Arial" w:hAnsi="Arial" w:eastAsia="Arial" w:cs="Arial"/>
      <w:color w:val="005a96"/>
      <w:sz w:val="26"/>
      <w:szCs w:val="26"/>
      <w:b w:val="1"/>
      <w:bCs w:val="1"/>
    </w:rPr>
  </w:style>
  <w:style w:type="paragraph" w:styleId="Heading3">
    <w:link w:val="Heading3Char"/>
    <w:name w:val="heading 3"/>
    <w:rPr>
      <w:rFonts w:ascii="Arial" w:hAnsi="Arial" w:eastAsia="Arial" w:cs="Arial"/>
      <w:color w:val="333333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2026-10-05T10:30:06+00:00</dcterms:created>
  <dcterms:modified xsi:type="dcterms:W3CDTF">2026-10-05T10:30:06+00:00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